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/>
        </w:rPr>
      </w:pPr>
      <w:r>
        <w:rPr>
          <w:rFonts w:hint="default"/>
          <w:b/>
          <w:bCs/>
          <w:sz w:val="44"/>
          <w:szCs w:val="44"/>
          <w:lang w:val="en-US"/>
        </w:rPr>
        <w:t xml:space="preserve"> 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河南省政府采购网上商城操作册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-----品牌入库申请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ind w:firstLine="2800" w:firstLineChars="1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hint="default" w:ascii="仿宋" w:hAnsi="仿宋" w:eastAsia="仿宋" w:cs="仿宋"/>
          <w:sz w:val="28"/>
          <w:szCs w:val="28"/>
          <w:lang w:val="en-US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default" w:ascii="仿宋" w:hAnsi="仿宋" w:eastAsia="仿宋" w:cs="仿宋"/>
          <w:sz w:val="28"/>
          <w:szCs w:val="28"/>
          <w:lang w:val="en-US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tabs>
          <w:tab w:val="center" w:pos="4213"/>
          <w:tab w:val="left" w:pos="6597"/>
        </w:tabs>
        <w:rPr>
          <w:rFonts w:ascii="仿宋" w:hAnsi="仿宋" w:eastAsia="仿宋" w:cs="仿宋"/>
          <w:sz w:val="28"/>
          <w:szCs w:val="28"/>
        </w:rPr>
      </w:pPr>
      <w:bookmarkStart w:id="16" w:name="_GoBack"/>
      <w:bookmarkEnd w:id="16"/>
      <w:r>
        <w:rPr>
          <w:rFonts w:hint="eastAsia" w:ascii="仿宋" w:hAnsi="仿宋" w:eastAsia="仿宋" w:cs="仿宋"/>
          <w:sz w:val="28"/>
          <w:szCs w:val="28"/>
        </w:rPr>
        <w:tab/>
      </w:r>
    </w:p>
    <w:sdt>
      <w:sdtPr>
        <w:rPr>
          <w:rFonts w:hint="eastAsia" w:ascii="仿宋" w:hAnsi="仿宋" w:eastAsia="仿宋" w:cs="仿宋"/>
          <w:b/>
          <w:bCs/>
          <w:kern w:val="44"/>
          <w:sz w:val="28"/>
          <w:szCs w:val="28"/>
        </w:rPr>
        <w:id w:val="147463246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/>
          <w:bCs/>
          <w:kern w:val="44"/>
          <w:sz w:val="44"/>
          <w:szCs w:val="44"/>
        </w:rPr>
      </w:sdtEndPr>
      <w:sdtContent>
        <w:p>
          <w:pPr>
            <w:jc w:val="center"/>
            <w:rPr>
              <w:rFonts w:ascii="仿宋" w:hAnsi="仿宋" w:eastAsia="仿宋" w:cs="仿宋"/>
              <w:sz w:val="28"/>
              <w:szCs w:val="28"/>
            </w:rPr>
          </w:pPr>
          <w:bookmarkStart w:id="0" w:name="_Toc21619138"/>
          <w:bookmarkStart w:id="1" w:name="_Toc24381"/>
          <w:bookmarkStart w:id="2" w:name="_Toc30048"/>
          <w:r>
            <w:rPr>
              <w:rFonts w:hint="eastAsia" w:ascii="仿宋" w:hAnsi="仿宋" w:eastAsia="仿宋" w:cs="仿宋"/>
              <w:sz w:val="28"/>
              <w:szCs w:val="28"/>
            </w:rPr>
            <w:t>目录</w:t>
          </w:r>
        </w:p>
        <w:p>
          <w:pPr>
            <w:pStyle w:val="7"/>
            <w:tabs>
              <w:tab w:val="right" w:leader="dot" w:pos="8306"/>
            </w:tabs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TOC \o "1-3" \h \u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"_Toc17386"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一、项目入库申请申报审批流程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_Toc17386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1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ascii="仿宋" w:hAnsi="仿宋" w:eastAsia="仿宋" w:cs="仿宋"/>
              <w:sz w:val="28"/>
              <w:szCs w:val="28"/>
            </w:rPr>
          </w:pPr>
          <w:r>
            <w:fldChar w:fldCharType="begin"/>
          </w:r>
          <w:r>
            <w:instrText xml:space="preserve"> HYPERLINK \l "_Toc31911"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二、 品牌入库申请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_Toc31911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ascii="仿宋" w:hAnsi="仿宋" w:eastAsia="仿宋" w:cs="仿宋"/>
              <w:sz w:val="28"/>
              <w:szCs w:val="28"/>
            </w:rPr>
          </w:pPr>
          <w:r>
            <w:fldChar w:fldCharType="begin"/>
          </w:r>
          <w:r>
            <w:instrText xml:space="preserve"> HYPERLINK \l "_Toc19794"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2.1 外网登陆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_Toc19794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ascii="仿宋" w:hAnsi="仿宋" w:eastAsia="仿宋" w:cs="仿宋"/>
              <w:sz w:val="28"/>
              <w:szCs w:val="28"/>
            </w:rPr>
          </w:pPr>
          <w:r>
            <w:fldChar w:fldCharType="begin"/>
          </w:r>
          <w:r>
            <w:instrText xml:space="preserve"> HYPERLINK \l "_Toc7963"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2.2厂商信息填写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_Toc7963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ascii="仿宋" w:hAnsi="仿宋" w:eastAsia="仿宋" w:cs="仿宋"/>
              <w:sz w:val="28"/>
              <w:szCs w:val="28"/>
            </w:rPr>
          </w:pPr>
          <w:r>
            <w:fldChar w:fldCharType="begin"/>
          </w:r>
          <w:r>
            <w:instrText xml:space="preserve"> HYPERLINK \l "_Toc11543"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2.3审核进度查询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_Toc11543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2"/>
            <w:spacing w:line="576" w:lineRule="auto"/>
            <w:rPr>
              <w:rFonts w:ascii="仿宋" w:hAnsi="仿宋" w:eastAsia="仿宋" w:cs="仿宋"/>
              <w:sz w:val="28"/>
              <w:szCs w:val="28"/>
            </w:rPr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cols w:space="720" w:num="1"/>
              <w:docGrid w:type="lines" w:linePitch="312" w:charSpace="0"/>
            </w:sect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2"/>
            <w:spacing w:line="576" w:lineRule="auto"/>
            <w:rPr>
              <w:rFonts w:ascii="仿宋" w:hAnsi="仿宋" w:eastAsia="仿宋" w:cs="仿宋"/>
            </w:rPr>
          </w:pPr>
        </w:p>
      </w:sdtContent>
    </w:sdt>
    <w:p>
      <w:pPr>
        <w:pStyle w:val="2"/>
        <w:spacing w:line="576" w:lineRule="auto"/>
        <w:rPr>
          <w:rFonts w:ascii="仿宋" w:hAnsi="仿宋" w:eastAsia="仿宋" w:cs="仿宋"/>
        </w:rPr>
      </w:pPr>
      <w:bookmarkStart w:id="3" w:name="_Toc17386"/>
      <w:r>
        <w:rPr>
          <w:rFonts w:hint="eastAsia" w:ascii="仿宋" w:hAnsi="仿宋" w:eastAsia="仿宋" w:cs="仿宋"/>
        </w:rPr>
        <w:t>一、</w:t>
      </w:r>
      <w:bookmarkEnd w:id="0"/>
      <w:r>
        <w:rPr>
          <w:rFonts w:hint="eastAsia" w:ascii="仿宋" w:hAnsi="仿宋" w:eastAsia="仿宋" w:cs="仿宋"/>
        </w:rPr>
        <w:t>项目入库申请申报审批流程</w:t>
      </w:r>
      <w:bookmarkEnd w:id="1"/>
      <w:bookmarkEnd w:id="2"/>
      <w:bookmarkEnd w:id="3"/>
    </w:p>
    <w:p>
      <w:r>
        <w:drawing>
          <wp:inline distT="0" distB="0" distL="114300" distR="114300">
            <wp:extent cx="5133975" cy="430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spacing w:line="576" w:lineRule="auto"/>
        <w:rPr>
          <w:rFonts w:ascii="仿宋" w:hAnsi="仿宋" w:eastAsia="仿宋" w:cs="仿宋"/>
        </w:rPr>
      </w:pPr>
      <w:bookmarkStart w:id="4" w:name="_Toc9964"/>
      <w:bookmarkStart w:id="5" w:name="_Toc16104"/>
      <w:bookmarkStart w:id="6" w:name="_Toc31911"/>
      <w:r>
        <w:rPr>
          <w:rFonts w:hint="eastAsia" w:ascii="仿宋" w:hAnsi="仿宋" w:eastAsia="仿宋" w:cs="仿宋"/>
        </w:rPr>
        <w:t>品牌入库申请</w:t>
      </w:r>
      <w:bookmarkEnd w:id="4"/>
      <w:bookmarkEnd w:id="5"/>
      <w:bookmarkEnd w:id="6"/>
    </w:p>
    <w:p>
      <w:pPr>
        <w:pStyle w:val="3"/>
        <w:jc w:val="left"/>
        <w:rPr>
          <w:rFonts w:ascii="仿宋" w:hAnsi="仿宋" w:eastAsia="仿宋" w:cs="仿宋"/>
        </w:rPr>
      </w:pPr>
      <w:bookmarkStart w:id="7" w:name="_Toc30283"/>
      <w:bookmarkStart w:id="8" w:name="_Toc19794"/>
      <w:bookmarkStart w:id="9" w:name="_Toc3430"/>
      <w:r>
        <w:rPr>
          <w:rFonts w:hint="eastAsia" w:ascii="仿宋" w:hAnsi="仿宋" w:eastAsia="仿宋" w:cs="仿宋"/>
        </w:rPr>
        <w:t>2.1 外网登陆</w:t>
      </w:r>
      <w:bookmarkEnd w:id="7"/>
      <w:bookmarkEnd w:id="8"/>
      <w:bookmarkEnd w:id="9"/>
    </w:p>
    <w:p>
      <w:pPr>
        <w:pStyle w:val="3"/>
        <w:jc w:val="left"/>
        <w:rPr>
          <w:rFonts w:ascii="仿宋" w:hAnsi="仿宋" w:eastAsia="仿宋" w:cs="仿宋"/>
        </w:rPr>
      </w:pPr>
      <w:bookmarkStart w:id="10" w:name="_Toc7963"/>
      <w:bookmarkStart w:id="11" w:name="_Toc22357"/>
      <w:bookmarkStart w:id="12" w:name="_Toc10784"/>
      <w:r>
        <w:rPr>
          <w:rFonts w:hint="eastAsia" w:ascii="仿宋" w:hAnsi="仿宋" w:eastAsia="仿宋" w:cs="仿宋"/>
        </w:rPr>
        <w:t>2.2厂商信息填写</w:t>
      </w:r>
      <w:bookmarkEnd w:id="10"/>
      <w:bookmarkEnd w:id="11"/>
      <w:bookmarkEnd w:id="12"/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·授权代表填写申请人姓名（“*”号为必填项）</w:t>
      </w:r>
      <w:r>
        <w:rPr>
          <w:rFonts w:hint="default" w:ascii="仿宋" w:hAnsi="仿宋" w:eastAsia="仿宋" w:cs="仿宋"/>
          <w:sz w:val="28"/>
          <w:szCs w:val="28"/>
          <w:lang w:val="en-US"/>
        </w:rPr>
        <w:t>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查询号码可用于申请进度查询时使用。</w:t>
      </w:r>
    </w:p>
    <w:p>
      <w:r>
        <w:drawing>
          <wp:inline distT="0" distB="0" distL="114300" distR="114300">
            <wp:extent cx="5267960" cy="1314450"/>
            <wp:effectExtent l="0" t="0" r="889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·选择品目时，点击“+”，可出现具体品目名称，同一品目下可进行单项或多项选择</w:t>
      </w:r>
    </w:p>
    <w:p>
      <w:pPr>
        <w:jc w:val="left"/>
      </w:pPr>
      <w:r>
        <w:drawing>
          <wp:inline distT="0" distB="0" distL="114300" distR="114300">
            <wp:extent cx="5271135" cy="2465070"/>
            <wp:effectExtent l="0" t="0" r="5715" b="1143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填写信息后点击保存并下一步，继续填写资料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drawing>
          <wp:inline distT="0" distB="0" distL="114300" distR="114300">
            <wp:extent cx="5273675" cy="2396490"/>
            <wp:effectExtent l="0" t="0" r="3175" b="381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·品牌材料，点击上传附件，可进行图片或文件上传，如图1。上传后，可点击已上传文件进行预览或点击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‘</w:t>
      </w:r>
      <w:r>
        <w:rPr>
          <w:rFonts w:hint="default" w:ascii="Arial" w:hAnsi="Arial" w:eastAsia="仿宋" w:cs="Arial"/>
          <w:sz w:val="28"/>
          <w:szCs w:val="28"/>
        </w:rPr>
        <w:t>×</w:t>
      </w:r>
      <w:r>
        <w:rPr>
          <w:rFonts w:hint="eastAsia" w:ascii="Arial" w:hAnsi="Arial" w:eastAsia="仿宋" w:cs="Arial"/>
          <w:sz w:val="28"/>
          <w:szCs w:val="28"/>
          <w:lang w:eastAsia="zh-CN"/>
        </w:rPr>
        <w:t>’</w:t>
      </w:r>
      <w:r>
        <w:rPr>
          <w:rFonts w:hint="eastAsia" w:ascii="仿宋" w:hAnsi="仿宋" w:eastAsia="仿宋" w:cs="仿宋"/>
          <w:sz w:val="28"/>
          <w:szCs w:val="28"/>
        </w:rPr>
        <w:t>删除后重新上传，如图2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1135" cy="1721485"/>
            <wp:effectExtent l="0" t="0" r="5715" b="1206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图1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6690" cy="2451100"/>
            <wp:effectExtent l="0" t="0" r="10160" b="635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图2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·家具类和软件类的厂商，附加材料为必填项，其中，家具品目下家具类资料必须上传，软件品目下软件类资料必须上传。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7325" cy="2045970"/>
            <wp:effectExtent l="0" t="0" r="9525" b="1143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·资料填写完成后，即可进行保存。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若想继续修改，也可点击返回，即可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上一页面。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6690" cy="2015490"/>
            <wp:effectExtent l="0" t="0" r="10160" b="3810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若资料填写完成，可</w:t>
      </w:r>
      <w:r>
        <w:rPr>
          <w:rFonts w:hint="eastAsia" w:ascii="仿宋" w:hAnsi="仿宋" w:eastAsia="仿宋" w:cs="仿宋"/>
          <w:sz w:val="28"/>
          <w:szCs w:val="28"/>
        </w:rPr>
        <w:t>点击“提交”，弹出验证码窗口，验证校对后，提示:“提交成功，请您耐心等待审核”，资料即进入审核。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2405" cy="2706370"/>
            <wp:effectExtent l="0" t="0" r="4445" b="17780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Theme="minorEastAsia" w:hAnsiTheme="minorEastAsia" w:eastAsiaTheme="minorEastAsia" w:cstheme="minorEastAsia"/>
          <w:szCs w:val="21"/>
        </w:rPr>
      </w:pPr>
      <w:r>
        <w:drawing>
          <wp:inline distT="0" distB="0" distL="114300" distR="114300">
            <wp:extent cx="5264150" cy="2627630"/>
            <wp:effectExtent l="0" t="0" r="12700" b="127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3"/>
        <w:rPr>
          <w:rFonts w:ascii="仿宋" w:hAnsi="仿宋" w:eastAsia="仿宋" w:cs="仿宋"/>
        </w:rPr>
      </w:pPr>
      <w:bookmarkStart w:id="13" w:name="_Toc29723"/>
      <w:bookmarkStart w:id="14" w:name="_Toc15184"/>
      <w:bookmarkStart w:id="15" w:name="_Toc11543"/>
      <w:r>
        <w:rPr>
          <w:rFonts w:hint="eastAsia" w:ascii="仿宋" w:hAnsi="仿宋" w:eastAsia="仿宋" w:cs="仿宋"/>
        </w:rPr>
        <w:t>2.3审核进度查询</w:t>
      </w:r>
      <w:bookmarkEnd w:id="13"/>
      <w:bookmarkEnd w:id="14"/>
      <w:bookmarkEnd w:id="15"/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·进入审核进度查询页面，在输入框输入手机号码，弹出验证码输入框，输入验证码点击搜索即可看到审核进度。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1135" cy="1751330"/>
            <wp:effectExtent l="0" t="0" r="5715" b="127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·若审核进度为“待提交”，可选择点击“编辑”补充填写资料，或点击“提交”进入审核。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0500" cy="519430"/>
            <wp:effectExtent l="0" t="0" r="6350" b="13970"/>
            <wp:docPr id="1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·若审核进度为“待审核”，即资料正在审核中。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675" cy="406400"/>
            <wp:effectExtent l="0" t="0" r="3175" b="12700"/>
            <wp:docPr id="16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·若审核进度为“已退回”，可根据审核意见点击“编辑”进行资料补充或修改，完成后点击“提交”再次进入审核。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675" cy="381635"/>
            <wp:effectExtent l="0" t="0" r="3175" b="18415"/>
            <wp:docPr id="1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·若审核进度为“审核通过”，则完成品牌入库，厂商可自行进行账号注册。</w:t>
      </w:r>
    </w:p>
    <w:p>
      <w:pPr>
        <w:jc w:val="left"/>
      </w:pPr>
      <w:r>
        <w:drawing>
          <wp:inline distT="0" distB="0" distL="114300" distR="114300">
            <wp:extent cx="5266690" cy="353060"/>
            <wp:effectExtent l="0" t="0" r="10160" b="8890"/>
            <wp:docPr id="19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5y2WEbAgAAIgQAAA4AAABkcnMvZTJvRG9jLnhtbK1TzY7TMBC+I/EO&#10;lu80aRGlqpquyq6KkCp2pYI4u47dWLI9lu02KQ8Ab8CJC/d9rj4HY6fpIuCEuNhjz/833yxuOqPJ&#10;UfigwFZ0PCopEZZDrey+oh8/rF/MKAmR2ZppsKKiJxHozfL5s0Xr5mICDehaeIJBbJi3rqJNjG5e&#10;FIE3wrAwAicsKiV4wyI+/b6oPWsxutHFpCynRQu+dh64CAF/73olXeb4Ugoe76UMIhJdUawt5tPn&#10;c5fOYrlg871nrlH8Ugb7hyoMUxaTXkPdscjIwas/QhnFPQSQccTBFCCl4iL3gN2My9+62TbMidwL&#10;ghPcFabw/8Ly98cHT1Rd0cmUEssMzuj87ev5++P5xxfyOuHTujBHs61Dw9i9gQ7nPPwH/Extd9Kb&#10;dGNDBPWI9OmKrugi4clpNpnNSlRx1A0PjF88uTsf4lsBhiShoh7Hl1Flx02IvelgkrJZWCut8wi1&#10;JW1Fpy9fldnhqsHg2iZbkclwCZNa6ktPUux23aXPHdQnbNNDT5Tg+FphKRsW4gPzyAwsH9ke7/GQ&#10;GjAlXCRKGvCf//af7HFgqKWkRaZV1OIqUKLfWRxkIuUg+EHYDYI9mFtA6o5xixzPIjr4qAdRejCf&#10;cAVWKQeqmOWYqaJxEG9jz3ZcIS5Wq2x0cF7tm94BaehY3Nit4ylNgiq41SEitBnxBFCPCk4qPZCI&#10;eWaXpUlM//WdrZ5We/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5y2WEbAgAAIg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drawing>
        <wp:inline distT="0" distB="0" distL="0" distR="0">
          <wp:extent cx="688975" cy="196850"/>
          <wp:effectExtent l="19050" t="0" r="0" b="0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67A52"/>
    <w:multiLevelType w:val="singleLevel"/>
    <w:tmpl w:val="92867A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1"/>
    <w:rsid w:val="002F7234"/>
    <w:rsid w:val="005F56FD"/>
    <w:rsid w:val="00692841"/>
    <w:rsid w:val="007476C1"/>
    <w:rsid w:val="008D47BF"/>
    <w:rsid w:val="0092037D"/>
    <w:rsid w:val="05364E23"/>
    <w:rsid w:val="05B527D9"/>
    <w:rsid w:val="0B763532"/>
    <w:rsid w:val="198C5FB0"/>
    <w:rsid w:val="26FC028D"/>
    <w:rsid w:val="2FCA3068"/>
    <w:rsid w:val="3797632C"/>
    <w:rsid w:val="3F416960"/>
    <w:rsid w:val="5ED3219F"/>
    <w:rsid w:val="680260DB"/>
    <w:rsid w:val="7BCC50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character" w:customStyle="1" w:styleId="11">
    <w:name w:val="文档结构图 Char"/>
    <w:basedOn w:val="10"/>
    <w:link w:val="4"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</Company>
  <Pages>8</Pages>
  <Words>150</Words>
  <Characters>858</Characters>
  <Lines>7</Lines>
  <Paragraphs>2</Paragraphs>
  <TotalTime>6</TotalTime>
  <ScaleCrop>false</ScaleCrop>
  <LinksUpToDate>false</LinksUpToDate>
  <CharactersWithSpaces>1006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韩颖</cp:lastModifiedBy>
  <dcterms:modified xsi:type="dcterms:W3CDTF">2020-12-08T09:17:23Z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